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18661D" w14:paraId="45193A20" w14:textId="77777777" w:rsidTr="00650BA1">
        <w:tc>
          <w:tcPr>
            <w:tcW w:w="5148" w:type="dxa"/>
          </w:tcPr>
          <w:p w14:paraId="245C63AB" w14:textId="428BEBCC" w:rsidR="00E928A2" w:rsidRPr="00225476" w:rsidRDefault="00EC075B" w:rsidP="0022547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0CE1C089" wp14:editId="7003CDDD">
                  <wp:extent cx="2170800" cy="1911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0800" cy="19116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6C4DB3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F17B9C">
        <w:rPr>
          <w:rFonts w:ascii="PT Astra Serif" w:hAnsi="PT Astra Serif"/>
          <w:b/>
          <w:bCs/>
          <w:sz w:val="24"/>
          <w:u w:val="single"/>
          <w:lang w:val="ru-RU"/>
        </w:rPr>
        <w:t>картриджей</w:t>
      </w:r>
      <w:r w:rsidR="007C0013" w:rsidRPr="007C0013">
        <w:rPr>
          <w:rFonts w:ascii="PT Astra Serif" w:hAnsi="PT Astra Serif"/>
          <w:b/>
          <w:bCs/>
          <w:sz w:val="24"/>
          <w:u w:val="single"/>
          <w:lang w:val="ru-RU"/>
        </w:rPr>
        <w:t xml:space="preserve"> для </w:t>
      </w:r>
      <w:r w:rsidR="00225476" w:rsidRPr="00225476">
        <w:rPr>
          <w:rFonts w:ascii="PT Astra Serif" w:hAnsi="PT Astra Serif"/>
          <w:b/>
          <w:bCs/>
          <w:sz w:val="24"/>
          <w:u w:val="single"/>
          <w:lang w:val="ru-RU"/>
        </w:rPr>
        <w:t>электрографических печатающих устройств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25476" w:rsidRPr="00D770A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25476" w:rsidRPr="000F4306" w:rsidRDefault="00225476"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25476" w:rsidRPr="000F4306" w:rsidRDefault="00225476"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61E830FF" w14:textId="77777777" w:rsidR="00225476" w:rsidRPr="00113F5D" w:rsidRDefault="00225476" w:rsidP="00B80946">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w:t>
            </w:r>
            <w:proofErr w:type="gramStart"/>
            <w:r w:rsidRPr="00113F5D">
              <w:rPr>
                <w:rFonts w:ascii="PT Astra Serif" w:hAnsi="PT Astra Serif"/>
                <w:szCs w:val="22"/>
              </w:rPr>
              <w:t>.Ю</w:t>
            </w:r>
            <w:proofErr w:type="gramEnd"/>
            <w:r w:rsidRPr="00113F5D">
              <w:rPr>
                <w:rFonts w:ascii="PT Astra Serif" w:hAnsi="PT Astra Serif"/>
                <w:szCs w:val="22"/>
              </w:rPr>
              <w:t>горска</w:t>
            </w:r>
            <w:proofErr w:type="spellEnd"/>
            <w:r w:rsidRPr="00113F5D">
              <w:rPr>
                <w:rFonts w:ascii="PT Astra Serif" w:hAnsi="PT Astra Serif"/>
                <w:szCs w:val="22"/>
              </w:rPr>
              <w:t>.</w:t>
            </w:r>
          </w:p>
          <w:p w14:paraId="23AC87BF" w14:textId="77777777" w:rsidR="00225476" w:rsidRPr="00113F5D" w:rsidRDefault="00225476" w:rsidP="00B80946">
            <w:pPr>
              <w:pStyle w:val="1"/>
              <w:keepNext/>
              <w:keepLines/>
              <w:suppressLineNumbers/>
              <w:spacing w:after="0" w:line="240" w:lineRule="auto"/>
              <w:jc w:val="both"/>
              <w:rPr>
                <w:rFonts w:ascii="PT Astra Serif" w:hAnsi="PT Astra Serif"/>
                <w:szCs w:val="22"/>
              </w:rPr>
            </w:pPr>
            <w:proofErr w:type="gramStart"/>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roofErr w:type="gramEnd"/>
          </w:p>
          <w:p w14:paraId="2CE06D73" w14:textId="77777777" w:rsidR="00225476" w:rsidRPr="00113F5D" w:rsidRDefault="00225476" w:rsidP="00B80946">
            <w:pPr>
              <w:pStyle w:val="1"/>
              <w:keepNext/>
              <w:keepLines/>
              <w:suppressLineNumbers/>
              <w:spacing w:after="0" w:line="240" w:lineRule="auto"/>
              <w:jc w:val="both"/>
              <w:rPr>
                <w:rFonts w:ascii="PT Astra Serif" w:hAnsi="PT Astra Serif"/>
                <w:szCs w:val="22"/>
              </w:rPr>
            </w:pPr>
            <w:proofErr w:type="gramStart"/>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roofErr w:type="gramEnd"/>
          </w:p>
          <w:p w14:paraId="38D39E0F" w14:textId="77777777" w:rsidR="00225476" w:rsidRPr="00113F5D" w:rsidRDefault="00225476" w:rsidP="00B80946">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296371A7" w14:textId="77777777" w:rsidR="00225476" w:rsidRPr="00113F5D" w:rsidRDefault="00225476" w:rsidP="00B80946">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xml:space="preserve">: (34675) </w:t>
            </w:r>
            <w:r>
              <w:rPr>
                <w:rFonts w:ascii="PT Astra Serif" w:hAnsi="PT Astra Serif"/>
                <w:szCs w:val="22"/>
              </w:rPr>
              <w:t>77</w:t>
            </w:r>
            <w:r w:rsidRPr="00113F5D">
              <w:rPr>
                <w:rFonts w:ascii="PT Astra Serif" w:hAnsi="PT Astra Serif"/>
                <w:szCs w:val="22"/>
              </w:rPr>
              <w:t>0</w:t>
            </w:r>
            <w:r>
              <w:rPr>
                <w:rFonts w:ascii="PT Astra Serif" w:hAnsi="PT Astra Serif"/>
                <w:szCs w:val="22"/>
              </w:rPr>
              <w:t>00 вн.240.</w:t>
            </w:r>
          </w:p>
          <w:p w14:paraId="5D4A33A1" w14:textId="670BE317" w:rsidR="00225476" w:rsidRPr="00113F5D" w:rsidRDefault="00225476"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w:t>
            </w:r>
            <w:proofErr w:type="spellStart"/>
            <w:r w:rsidRPr="00113F5D">
              <w:rPr>
                <w:rFonts w:ascii="PT Astra Serif" w:hAnsi="PT Astra Serif"/>
                <w:sz w:val="24"/>
                <w:lang w:val="ru-RU"/>
              </w:rPr>
              <w:t>Дергилев</w:t>
            </w:r>
            <w:proofErr w:type="spellEnd"/>
            <w:r w:rsidRPr="00113F5D">
              <w:rPr>
                <w:rFonts w:ascii="PT Astra Serif" w:hAnsi="PT Astra Serif"/>
                <w:sz w:val="24"/>
                <w:lang w:val="ru-RU"/>
              </w:rPr>
              <w:t xml:space="preserve"> Олег Владимирович.</w:t>
            </w:r>
          </w:p>
        </w:tc>
      </w:tr>
      <w:tr w:rsidR="00225476" w:rsidRPr="00D770A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25476" w:rsidRPr="00291651" w:rsidRDefault="00225476"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25476" w:rsidRPr="000F4306" w:rsidRDefault="00225476"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6A4D8324" w14:textId="77777777" w:rsidR="00225476" w:rsidRPr="000F4306" w:rsidRDefault="00225476" w:rsidP="00B80946">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w:t>
            </w:r>
            <w:proofErr w:type="spellStart"/>
            <w:r w:rsidRPr="000F4306">
              <w:rPr>
                <w:rFonts w:ascii="PT Astra Serif" w:hAnsi="PT Astra Serif"/>
                <w:sz w:val="24"/>
                <w:szCs w:val="24"/>
                <w:lang w:val="ru-RU"/>
              </w:rPr>
              <w:t>Югорска</w:t>
            </w:r>
            <w:proofErr w:type="spellEnd"/>
            <w:r w:rsidRPr="000F4306">
              <w:rPr>
                <w:rFonts w:ascii="PT Astra Serif" w:hAnsi="PT Astra Serif"/>
                <w:sz w:val="24"/>
                <w:szCs w:val="24"/>
                <w:lang w:val="ru-RU"/>
              </w:rPr>
              <w:t xml:space="preserve">. </w:t>
            </w:r>
          </w:p>
          <w:p w14:paraId="3AACE2F5" w14:textId="77777777" w:rsidR="00225476" w:rsidRPr="000F4306" w:rsidRDefault="00225476" w:rsidP="00B80946">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xml:space="preserve">,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158B938B" w14:textId="77777777" w:rsidR="00225476" w:rsidRPr="000F4306" w:rsidRDefault="00225476" w:rsidP="00B80946">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ул. 40 лет Победы, 11.</w:t>
            </w:r>
            <w:proofErr w:type="gramEnd"/>
          </w:p>
          <w:p w14:paraId="26A7FA5D" w14:textId="77777777" w:rsidR="00225476" w:rsidRPr="000F4306" w:rsidRDefault="00225476" w:rsidP="00B80946">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w:t>
            </w:r>
            <w:r>
              <w:rPr>
                <w:rFonts w:ascii="PT Astra Serif" w:hAnsi="PT Astra Serif"/>
                <w:sz w:val="24"/>
                <w:szCs w:val="24"/>
                <w:lang w:val="ru-RU"/>
              </w:rPr>
              <w:t>77112 вн.137</w:t>
            </w:r>
            <w:r w:rsidRPr="000F4306">
              <w:rPr>
                <w:rFonts w:ascii="PT Astra Serif" w:hAnsi="PT Astra Serif"/>
                <w:sz w:val="24"/>
                <w:szCs w:val="24"/>
                <w:lang w:val="ru-RU"/>
              </w:rPr>
              <w:t xml:space="preserve">. </w:t>
            </w:r>
          </w:p>
          <w:p w14:paraId="153C8479" w14:textId="77777777" w:rsidR="00225476" w:rsidRPr="000F4306" w:rsidRDefault="00225476" w:rsidP="00B80946">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4DB2E2C2" w:rsidR="00225476" w:rsidRPr="000F4306" w:rsidRDefault="00225476"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F61FEDF" w:rsidR="00291651" w:rsidRPr="00A123AB" w:rsidRDefault="005F64BF" w:rsidP="005F64BF">
            <w:pPr>
              <w:rPr>
                <w:rFonts w:ascii="PT Astra Serif" w:hAnsi="PT Astra Serif"/>
                <w:color w:val="000099"/>
                <w:sz w:val="24"/>
                <w:szCs w:val="24"/>
                <w:lang w:val="ru-RU"/>
              </w:rPr>
            </w:pPr>
            <w:r w:rsidRPr="005F64BF">
              <w:rPr>
                <w:rFonts w:ascii="PT Astra Serif" w:hAnsi="PT Astra Serif"/>
                <w:color w:val="000099"/>
                <w:sz w:val="24"/>
                <w:szCs w:val="24"/>
                <w:lang w:val="ru-RU"/>
              </w:rPr>
              <w:t>2638622002368862201001011100</w:t>
            </w:r>
            <w:r>
              <w:rPr>
                <w:rFonts w:ascii="PT Astra Serif" w:hAnsi="PT Astra Serif"/>
                <w:color w:val="000099"/>
                <w:sz w:val="24"/>
                <w:szCs w:val="24"/>
              </w:rPr>
              <w:t>1</w:t>
            </w:r>
            <w:r w:rsidRPr="005F64BF">
              <w:rPr>
                <w:rFonts w:ascii="PT Astra Serif" w:hAnsi="PT Astra Serif"/>
                <w:color w:val="000099"/>
                <w:sz w:val="24"/>
                <w:szCs w:val="24"/>
                <w:lang w:val="ru-RU"/>
              </w:rPr>
              <w:t>2059244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D770A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D770A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8ED3510" w:rsidR="00291651" w:rsidRPr="00EB388D" w:rsidRDefault="00291651" w:rsidP="00F17B9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F17B9C">
              <w:rPr>
                <w:rFonts w:ascii="PT Astra Serif" w:hAnsi="PT Astra Serif"/>
                <w:bCs/>
                <w:color w:val="000099"/>
                <w:sz w:val="24"/>
                <w:szCs w:val="24"/>
                <w:lang w:val="ru-RU"/>
              </w:rPr>
              <w:t>картриджей</w:t>
            </w:r>
            <w:r w:rsidR="007C0013" w:rsidRPr="007C0013">
              <w:rPr>
                <w:rFonts w:ascii="PT Astra Serif" w:hAnsi="PT Astra Serif"/>
                <w:bCs/>
                <w:color w:val="000099"/>
                <w:sz w:val="24"/>
                <w:szCs w:val="24"/>
                <w:lang w:val="ru-RU"/>
              </w:rPr>
              <w:t xml:space="preserve"> для </w:t>
            </w:r>
            <w:r w:rsidR="00225476" w:rsidRPr="00225476">
              <w:rPr>
                <w:rFonts w:ascii="PT Astra Serif" w:hAnsi="PT Astra Serif"/>
                <w:bCs/>
                <w:color w:val="000099"/>
                <w:sz w:val="24"/>
                <w:szCs w:val="24"/>
                <w:lang w:val="ru-RU"/>
              </w:rPr>
              <w:t>электрографических печатающих устройств</w:t>
            </w:r>
          </w:p>
        </w:tc>
      </w:tr>
      <w:tr w:rsidR="00291651" w:rsidRPr="00D770A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4C81C55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225476">
              <w:rPr>
                <w:rFonts w:ascii="PT Astra Serif" w:hAnsi="PT Astra Serif"/>
                <w:color w:val="000099"/>
                <w:sz w:val="24"/>
                <w:szCs w:val="24"/>
                <w:lang w:val="ru-RU"/>
              </w:rPr>
              <w:t>31</w:t>
            </w:r>
            <w:r w:rsidRPr="00044E24">
              <w:rPr>
                <w:rFonts w:ascii="PT Astra Serif" w:hAnsi="PT Astra Serif"/>
                <w:color w:val="000099"/>
                <w:sz w:val="24"/>
                <w:szCs w:val="24"/>
                <w:lang w:val="ru-RU"/>
              </w:rPr>
              <w:t>.</w:t>
            </w:r>
            <w:r w:rsidR="00A36E76">
              <w:rPr>
                <w:rFonts w:ascii="PT Astra Serif" w:hAnsi="PT Astra Serif"/>
                <w:color w:val="000099"/>
                <w:sz w:val="24"/>
                <w:szCs w:val="24"/>
                <w:lang w:val="ru-RU"/>
              </w:rPr>
              <w:t>0</w:t>
            </w:r>
            <w:r w:rsidR="00225476">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36E76">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20CFF561" w:rsidR="00505CE5" w:rsidRPr="00753654" w:rsidRDefault="00505CE5" w:rsidP="00B9573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B95730">
              <w:rPr>
                <w:rFonts w:ascii="PT Astra Serif" w:hAnsi="PT Astra Serif"/>
                <w:color w:val="000099"/>
                <w:sz w:val="24"/>
                <w:szCs w:val="24"/>
              </w:rPr>
              <w:t>22</w:t>
            </w:r>
            <w:r w:rsidR="009C6991" w:rsidRPr="009C6991">
              <w:rPr>
                <w:rFonts w:ascii="PT Astra Serif" w:hAnsi="PT Astra Serif"/>
                <w:color w:val="000099"/>
                <w:sz w:val="24"/>
                <w:szCs w:val="24"/>
                <w:lang w:val="ru-RU"/>
              </w:rPr>
              <w:t>.</w:t>
            </w:r>
            <w:r w:rsidR="00A36E76">
              <w:rPr>
                <w:rFonts w:ascii="PT Astra Serif" w:hAnsi="PT Astra Serif"/>
                <w:color w:val="000099"/>
                <w:sz w:val="24"/>
                <w:szCs w:val="24"/>
                <w:lang w:val="ru-RU"/>
              </w:rPr>
              <w:t>0</w:t>
            </w:r>
            <w:r w:rsidR="00225476">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A36E76">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D770A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10B2317" w:rsidR="001B62DC" w:rsidRPr="000F4306" w:rsidRDefault="0050358F" w:rsidP="0018661D">
            <w:pPr>
              <w:jc w:val="both"/>
              <w:rPr>
                <w:rFonts w:ascii="PT Astra Serif" w:hAnsi="PT Astra Serif"/>
                <w:sz w:val="24"/>
                <w:szCs w:val="24"/>
                <w:lang w:val="ru-RU"/>
              </w:rPr>
            </w:pPr>
            <w:r w:rsidRPr="0050358F">
              <w:rPr>
                <w:rFonts w:ascii="PT Astra Serif" w:hAnsi="PT Astra Serif"/>
                <w:snapToGrid w:val="0"/>
                <w:color w:val="000099"/>
                <w:sz w:val="24"/>
                <w:lang w:val="ru-RU"/>
              </w:rPr>
              <w:t>96 677 (девяносто шесть тысяч шестьсот семьдесят семь) рублей 97 копеек</w:t>
            </w:r>
          </w:p>
        </w:tc>
      </w:tr>
      <w:tr w:rsidR="001B62DC" w:rsidRPr="00D770A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B4900C" w14:textId="77777777" w:rsidR="008B24EB" w:rsidRDefault="001B62DC" w:rsidP="008B24EB">
            <w:pPr>
              <w:spacing w:before="0" w:beforeAutospacing="0" w:after="0" w:afterAutospacing="0"/>
              <w:jc w:val="both"/>
              <w:rPr>
                <w:rFonts w:ascii="PT Astra Serif" w:hAnsi="PT Astra Serif"/>
                <w:color w:val="000099"/>
                <w:sz w:val="24"/>
                <w:szCs w:val="24"/>
                <w:lang w:val="ru-RU"/>
              </w:rPr>
            </w:pPr>
            <w:r w:rsidRPr="00113F5D">
              <w:rPr>
                <w:rFonts w:ascii="PT Astra Serif" w:hAnsi="PT Astra Serif"/>
                <w:color w:val="000099"/>
                <w:sz w:val="24"/>
                <w:szCs w:val="24"/>
                <w:lang w:val="ru-RU"/>
              </w:rPr>
              <w:t xml:space="preserve">Бюджет города </w:t>
            </w:r>
            <w:proofErr w:type="spellStart"/>
            <w:r w:rsidRPr="00113F5D">
              <w:rPr>
                <w:rFonts w:ascii="PT Astra Serif" w:hAnsi="PT Astra Serif"/>
                <w:color w:val="000099"/>
                <w:sz w:val="24"/>
                <w:szCs w:val="24"/>
                <w:lang w:val="ru-RU"/>
              </w:rPr>
              <w:t>Югорска</w:t>
            </w:r>
            <w:proofErr w:type="spellEnd"/>
            <w:r w:rsidRPr="00113F5D">
              <w:rPr>
                <w:rFonts w:ascii="PT Astra Serif" w:hAnsi="PT Astra Serif"/>
                <w:color w:val="000099"/>
                <w:sz w:val="24"/>
                <w:szCs w:val="24"/>
                <w:lang w:val="ru-RU"/>
              </w:rPr>
              <w:t xml:space="preserve"> на </w:t>
            </w:r>
            <w:r w:rsidR="008B24EB">
              <w:rPr>
                <w:rFonts w:ascii="PT Astra Serif" w:hAnsi="PT Astra Serif"/>
                <w:color w:val="000099"/>
                <w:sz w:val="24"/>
                <w:szCs w:val="24"/>
                <w:lang w:val="ru-RU"/>
              </w:rPr>
              <w:t>2026</w:t>
            </w:r>
            <w:r w:rsidR="00984D2F" w:rsidRPr="00984D2F">
              <w:rPr>
                <w:rFonts w:ascii="PT Astra Serif" w:hAnsi="PT Astra Serif"/>
                <w:color w:val="000099"/>
                <w:sz w:val="24"/>
                <w:szCs w:val="24"/>
                <w:lang w:val="ru-RU"/>
              </w:rPr>
              <w:t xml:space="preserve"> год </w:t>
            </w:r>
          </w:p>
          <w:p w14:paraId="398FF260" w14:textId="79183888" w:rsidR="001B62DC" w:rsidRPr="000F4306" w:rsidRDefault="001B62DC" w:rsidP="0050358F">
            <w:pPr>
              <w:spacing w:before="0" w:beforeAutospacing="0" w:after="0" w:afterAutospacing="0"/>
              <w:jc w:val="both"/>
              <w:rPr>
                <w:rFonts w:ascii="PT Astra Serif" w:hAnsi="PT Astra Serif"/>
                <w:color w:val="000000"/>
                <w:sz w:val="24"/>
                <w:szCs w:val="24"/>
                <w:lang w:val="ru-RU"/>
              </w:rPr>
            </w:pPr>
            <w:r w:rsidRPr="00113F5D">
              <w:rPr>
                <w:rFonts w:ascii="PT Astra Serif" w:hAnsi="PT Astra Serif"/>
                <w:color w:val="000099"/>
                <w:sz w:val="24"/>
                <w:szCs w:val="24"/>
                <w:lang w:val="ru-RU"/>
              </w:rPr>
              <w:t>(</w:t>
            </w:r>
            <w:r w:rsidR="00225476" w:rsidRPr="00225476">
              <w:rPr>
                <w:rFonts w:ascii="PT Astra Serif" w:hAnsi="PT Astra Serif"/>
                <w:color w:val="000099"/>
                <w:sz w:val="24"/>
                <w:szCs w:val="24"/>
                <w:lang w:val="ru-RU"/>
              </w:rPr>
              <w:t>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50358F">
              <w:rPr>
                <w:rFonts w:ascii="PT Astra Serif" w:hAnsi="PT Astra Serif"/>
                <w:color w:val="000099"/>
                <w:sz w:val="24"/>
                <w:szCs w:val="24"/>
                <w:lang w:val="ru-RU"/>
              </w:rPr>
              <w:t xml:space="preserve">; </w:t>
            </w:r>
            <w:r w:rsidR="0050358F" w:rsidRPr="0050358F">
              <w:rPr>
                <w:rFonts w:ascii="PT Astra Serif" w:hAnsi="PT Astra Serif"/>
                <w:color w:val="000099"/>
                <w:sz w:val="24"/>
                <w:szCs w:val="24"/>
                <w:lang w:val="ru-RU"/>
              </w:rPr>
              <w:t>субвенци</w:t>
            </w:r>
            <w:r w:rsidR="0050358F">
              <w:rPr>
                <w:rFonts w:ascii="PT Astra Serif" w:hAnsi="PT Astra Serif"/>
                <w:color w:val="000099"/>
                <w:sz w:val="24"/>
                <w:szCs w:val="24"/>
                <w:lang w:val="ru-RU"/>
              </w:rPr>
              <w:t>я</w:t>
            </w:r>
            <w:r w:rsidR="0050358F" w:rsidRPr="0050358F">
              <w:rPr>
                <w:rFonts w:ascii="PT Astra Serif" w:hAnsi="PT Astra Serif"/>
                <w:color w:val="000099"/>
                <w:sz w:val="24"/>
                <w:szCs w:val="24"/>
                <w:lang w:val="ru-RU"/>
              </w:rPr>
              <w:t xml:space="preserve"> отдела по организации деятельности комиссии по делам несовершеннолетних и защите их прав</w:t>
            </w:r>
            <w:r w:rsidR="00A24309" w:rsidRPr="00A24309">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D770A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w:t>
            </w:r>
            <w:r w:rsidRPr="000F4306">
              <w:rPr>
                <w:rFonts w:ascii="PT Astra Serif" w:hAnsi="PT Astra Serif"/>
                <w:color w:val="000000"/>
                <w:sz w:val="24"/>
                <w:szCs w:val="24"/>
                <w:lang w:val="ru-RU"/>
              </w:rPr>
              <w:lastRenderedPageBreak/>
              <w:t xml:space="preserve">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w:t>
            </w:r>
            <w:r w:rsidRPr="00891B3B">
              <w:rPr>
                <w:rFonts w:ascii="PT Astra Serif" w:hAnsi="PT Astra Serif"/>
                <w:color w:val="000000"/>
                <w:sz w:val="24"/>
                <w:szCs w:val="24"/>
                <w:lang w:val="ru-RU"/>
              </w:rPr>
              <w:lastRenderedPageBreak/>
              <w:t xml:space="preserve">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D770A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D770A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D770A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770A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D770A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lastRenderedPageBreak/>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268260A" w:rsidR="005239BA" w:rsidRPr="007C0013" w:rsidRDefault="00760E66" w:rsidP="00557AA6">
            <w:pPr>
              <w:spacing w:before="0" w:beforeAutospacing="0" w:after="0" w:afterAutospacing="0"/>
              <w:jc w:val="both"/>
              <w:rPr>
                <w:rFonts w:ascii="PT Astra Serif" w:hAnsi="PT Astra Serif"/>
                <w:color w:val="000099"/>
                <w:sz w:val="24"/>
                <w:szCs w:val="24"/>
                <w:lang w:val="ru-RU"/>
              </w:rPr>
            </w:pPr>
            <w:r w:rsidRPr="00760E66">
              <w:rPr>
                <w:rFonts w:ascii="PT Astra Serif" w:hAnsi="PT Astra Serif"/>
                <w:color w:val="000099"/>
                <w:sz w:val="24"/>
                <w:szCs w:val="24"/>
                <w:lang w:val="ru-RU"/>
              </w:rPr>
              <w:lastRenderedPageBreak/>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57AA6">
              <w:rPr>
                <w:rFonts w:ascii="PT Astra Serif" w:hAnsi="PT Astra Serif"/>
                <w:color w:val="000099"/>
                <w:sz w:val="24"/>
                <w:szCs w:val="24"/>
                <w:lang w:val="ru-RU"/>
              </w:rPr>
              <w:t xml:space="preserve"> (запрет не применяется в соответствии с </w:t>
            </w:r>
            <w:proofErr w:type="gramStart"/>
            <w:r w:rsidR="00557AA6" w:rsidRPr="00557AA6">
              <w:rPr>
                <w:rFonts w:ascii="PT Astra Serif" w:hAnsi="PT Astra Serif"/>
                <w:color w:val="000099"/>
                <w:sz w:val="24"/>
                <w:szCs w:val="24"/>
                <w:lang w:val="ru-RU"/>
              </w:rPr>
              <w:t>п</w:t>
            </w:r>
            <w:proofErr w:type="gramEnd"/>
            <w:r w:rsidR="00557AA6" w:rsidRPr="00557AA6">
              <w:rPr>
                <w:rFonts w:ascii="PT Astra Serif" w:hAnsi="PT Astra Serif"/>
                <w:color w:val="000099"/>
                <w:sz w:val="24"/>
                <w:szCs w:val="24"/>
                <w:lang w:val="ru-RU"/>
              </w:rPr>
              <w:t xml:space="preserve">/п. и) п. 5 </w:t>
            </w:r>
            <w:r w:rsidR="00557AA6">
              <w:rPr>
                <w:rFonts w:ascii="PT Astra Serif" w:hAnsi="PT Astra Serif"/>
                <w:color w:val="000099"/>
                <w:sz w:val="24"/>
                <w:szCs w:val="24"/>
                <w:lang w:val="ru-RU"/>
              </w:rPr>
              <w:t>п</w:t>
            </w:r>
            <w:r w:rsidR="00557AA6" w:rsidRPr="00557AA6">
              <w:rPr>
                <w:rFonts w:ascii="PT Astra Serif" w:hAnsi="PT Astra Serif"/>
                <w:color w:val="000099"/>
                <w:sz w:val="24"/>
                <w:szCs w:val="24"/>
                <w:lang w:val="ru-RU"/>
              </w:rPr>
              <w:t>остановления</w:t>
            </w:r>
            <w:r w:rsidR="00557AA6">
              <w:rPr>
                <w:rFonts w:ascii="PT Astra Serif" w:hAnsi="PT Astra Serif"/>
                <w:color w:val="000099"/>
                <w:sz w:val="24"/>
                <w:szCs w:val="24"/>
                <w:lang w:val="ru-RU"/>
              </w:rPr>
              <w:t>)</w:t>
            </w:r>
          </w:p>
        </w:tc>
      </w:tr>
      <w:tr w:rsidR="001B62DC" w:rsidRPr="00D770A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93370C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50358F">
              <w:rPr>
                <w:rFonts w:ascii="PT Astra Serif" w:hAnsi="PT Astra Serif"/>
                <w:color w:val="000099"/>
                <w:sz w:val="24"/>
                <w:szCs w:val="24"/>
                <w:lang w:val="ru-RU"/>
              </w:rPr>
              <w:t>966</w:t>
            </w:r>
            <w:r w:rsidR="00956623" w:rsidRPr="00956623">
              <w:rPr>
                <w:rFonts w:ascii="PT Astra Serif" w:hAnsi="PT Astra Serif"/>
                <w:color w:val="000099"/>
                <w:sz w:val="24"/>
                <w:szCs w:val="24"/>
                <w:lang w:val="ru-RU"/>
              </w:rPr>
              <w:t xml:space="preserve"> (</w:t>
            </w:r>
            <w:r w:rsidR="0050358F">
              <w:rPr>
                <w:rFonts w:ascii="PT Astra Serif" w:hAnsi="PT Astra Serif"/>
                <w:color w:val="000099"/>
                <w:sz w:val="24"/>
                <w:szCs w:val="24"/>
                <w:lang w:val="ru-RU"/>
              </w:rPr>
              <w:t>девять</w:t>
            </w:r>
            <w:r w:rsidR="00225476">
              <w:rPr>
                <w:rFonts w:ascii="PT Astra Serif" w:hAnsi="PT Astra Serif"/>
                <w:color w:val="000099"/>
                <w:sz w:val="24"/>
                <w:szCs w:val="24"/>
                <w:lang w:val="ru-RU"/>
              </w:rPr>
              <w:t xml:space="preserve">сот </w:t>
            </w:r>
            <w:r w:rsidR="0050358F">
              <w:rPr>
                <w:rFonts w:ascii="PT Astra Serif" w:hAnsi="PT Astra Serif"/>
                <w:color w:val="000099"/>
                <w:sz w:val="24"/>
                <w:szCs w:val="24"/>
                <w:lang w:val="ru-RU"/>
              </w:rPr>
              <w:t>шестьдесят шесть</w:t>
            </w:r>
            <w:r w:rsidR="00956623" w:rsidRPr="00956623">
              <w:rPr>
                <w:rFonts w:ascii="PT Astra Serif" w:hAnsi="PT Astra Serif"/>
                <w:color w:val="000099"/>
                <w:sz w:val="24"/>
                <w:szCs w:val="24"/>
                <w:lang w:val="ru-RU"/>
              </w:rPr>
              <w:t>) руб</w:t>
            </w:r>
            <w:r w:rsidR="00743C73">
              <w:rPr>
                <w:rFonts w:ascii="PT Astra Serif" w:hAnsi="PT Astra Serif"/>
                <w:color w:val="000099"/>
                <w:sz w:val="24"/>
                <w:szCs w:val="24"/>
                <w:lang w:val="ru-RU"/>
              </w:rPr>
              <w:t>л</w:t>
            </w:r>
            <w:r w:rsidR="007C0013">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50358F">
              <w:rPr>
                <w:rFonts w:ascii="PT Astra Serif" w:hAnsi="PT Astra Serif"/>
                <w:color w:val="000099"/>
                <w:sz w:val="24"/>
                <w:szCs w:val="24"/>
                <w:lang w:val="ru-RU"/>
              </w:rPr>
              <w:t>78</w:t>
            </w:r>
            <w:r w:rsidR="00956623" w:rsidRPr="00956623">
              <w:rPr>
                <w:rFonts w:ascii="PT Astra Serif" w:hAnsi="PT Astra Serif"/>
                <w:color w:val="000099"/>
                <w:sz w:val="24"/>
                <w:szCs w:val="24"/>
                <w:lang w:val="ru-RU"/>
              </w:rPr>
              <w:t xml:space="preserve"> копе</w:t>
            </w:r>
            <w:r w:rsidR="0018661D">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D770A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D770A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0B5E33" w:rsidRPr="00D770AF"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0B5E33" w:rsidRPr="000F4306" w:rsidRDefault="000B5E33"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0B5E33" w:rsidRPr="000F4306" w:rsidRDefault="000B5E33"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94809B" w14:textId="77777777" w:rsidR="000B5E33" w:rsidRPr="00264A30" w:rsidRDefault="000B5E33" w:rsidP="00472C0B">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p>
          <w:p w14:paraId="3016B412" w14:textId="77777777" w:rsidR="000B5E33" w:rsidRPr="00264A30" w:rsidRDefault="000B5E33" w:rsidP="00472C0B">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xml:space="preserve"> (</w:t>
            </w:r>
            <w:r w:rsidRPr="00F24E57">
              <w:rPr>
                <w:rFonts w:ascii="PT Astra Serif" w:hAnsi="PT Astra Serif"/>
                <w:color w:val="000000"/>
                <w:sz w:val="24"/>
                <w:szCs w:val="24"/>
                <w:lang w:val="ru-RU"/>
              </w:rPr>
              <w:t xml:space="preserve">Администрация города </w:t>
            </w:r>
            <w:proofErr w:type="spellStart"/>
            <w:r w:rsidRPr="00F24E57">
              <w:rPr>
                <w:rFonts w:ascii="PT Astra Serif" w:hAnsi="PT Astra Serif"/>
                <w:color w:val="000000"/>
                <w:sz w:val="24"/>
                <w:szCs w:val="24"/>
                <w:lang w:val="ru-RU"/>
              </w:rPr>
              <w:t>Югорска</w:t>
            </w:r>
            <w:proofErr w:type="spellEnd"/>
            <w:r w:rsidRPr="00F24E57">
              <w:rPr>
                <w:rFonts w:ascii="PT Astra Serif" w:hAnsi="PT Astra Serif"/>
                <w:color w:val="000000"/>
                <w:sz w:val="24"/>
                <w:szCs w:val="24"/>
                <w:lang w:val="ru-RU"/>
              </w:rPr>
              <w:t>, лицевой счёт 070190000</w:t>
            </w:r>
            <w:r w:rsidRPr="00264A30">
              <w:rPr>
                <w:rFonts w:ascii="PT Astra Serif" w:hAnsi="PT Astra Serif"/>
                <w:color w:val="000000"/>
                <w:sz w:val="24"/>
                <w:szCs w:val="24"/>
                <w:lang w:val="ru-RU"/>
              </w:rPr>
              <w:t>), ИНН 8622002368, КПП 862201001.</w:t>
            </w:r>
          </w:p>
          <w:p w14:paraId="50719C46" w14:textId="7206D062" w:rsidR="000B5E33" w:rsidRPr="00264A30" w:rsidRDefault="000B5E33" w:rsidP="00225476">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Pr="00F24E57">
              <w:rPr>
                <w:rFonts w:ascii="PT Astra Serif" w:hAnsi="PT Astra Serif"/>
                <w:color w:val="000000"/>
                <w:sz w:val="24"/>
                <w:szCs w:val="24"/>
                <w:lang w:val="ru-RU"/>
              </w:rPr>
              <w:t>г</w:t>
            </w:r>
            <w:proofErr w:type="gramStart"/>
            <w:r w:rsidRPr="00F24E57">
              <w:rPr>
                <w:rFonts w:ascii="PT Astra Serif" w:hAnsi="PT Astra Serif"/>
                <w:color w:val="000000"/>
                <w:sz w:val="24"/>
                <w:szCs w:val="24"/>
                <w:lang w:val="ru-RU"/>
              </w:rPr>
              <w:t>.Х</w:t>
            </w:r>
            <w:proofErr w:type="gramEnd"/>
            <w:r w:rsidRPr="00F24E57">
              <w:rPr>
                <w:rFonts w:ascii="PT Astra Serif" w:hAnsi="PT Astra Serif"/>
                <w:color w:val="000000"/>
                <w:sz w:val="24"/>
                <w:szCs w:val="24"/>
                <w:lang w:val="ru-RU"/>
              </w:rPr>
              <w:t>анты-Мансийск</w:t>
            </w:r>
            <w:proofErr w:type="spellEnd"/>
            <w:r w:rsidRPr="00F24E57">
              <w:rPr>
                <w:rFonts w:ascii="PT Astra Serif" w:hAnsi="PT Astra Serif"/>
                <w:color w:val="000000"/>
                <w:sz w:val="24"/>
                <w:szCs w:val="24"/>
                <w:lang w:val="ru-RU"/>
              </w:rPr>
              <w:t xml:space="preserve">, БИК 007162163, счёт банка получателя </w:t>
            </w:r>
            <w:r w:rsidRPr="00F24E57">
              <w:rPr>
                <w:rFonts w:ascii="PT Astra Serif" w:hAnsi="PT Astra Serif"/>
                <w:color w:val="000000"/>
                <w:sz w:val="24"/>
                <w:szCs w:val="24"/>
                <w:lang w:val="ru-RU"/>
              </w:rPr>
              <w:lastRenderedPageBreak/>
              <w:t>40102810245370000007, расчётный счёт 032326437188700087</w:t>
            </w:r>
            <w:r>
              <w:rPr>
                <w:rFonts w:ascii="PT Astra Serif" w:hAnsi="PT Astra Serif"/>
                <w:color w:val="000000"/>
                <w:sz w:val="24"/>
                <w:szCs w:val="24"/>
                <w:lang w:val="ru-RU"/>
              </w:rPr>
              <w:t>00, КБК 040.1161.0060040000.140</w:t>
            </w:r>
          </w:p>
        </w:tc>
      </w:tr>
      <w:tr w:rsidR="000B5E33" w:rsidRPr="00D770AF"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0B5E33" w:rsidRPr="000F4306" w:rsidRDefault="000B5E33"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0B5E33" w:rsidRPr="000F4306" w:rsidRDefault="000B5E33"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091E60" w14:textId="77777777" w:rsidR="000B5E33" w:rsidRPr="00264A30" w:rsidRDefault="000B5E33" w:rsidP="00472C0B">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p>
          <w:p w14:paraId="53DF05A4" w14:textId="77777777" w:rsidR="000B5E33" w:rsidRPr="00264A30" w:rsidRDefault="000B5E33" w:rsidP="00472C0B">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w:t>
            </w:r>
            <w:r w:rsidRPr="00F24E57">
              <w:rPr>
                <w:rFonts w:ascii="PT Astra Serif" w:hAnsi="PT Astra Serif"/>
                <w:color w:val="000000"/>
                <w:sz w:val="24"/>
                <w:szCs w:val="24"/>
                <w:lang w:val="ru-RU"/>
              </w:rPr>
              <w:t>лицевой счёт 070190000</w:t>
            </w:r>
            <w:r w:rsidRPr="00264A30">
              <w:rPr>
                <w:rFonts w:ascii="PT Astra Serif" w:hAnsi="PT Astra Serif"/>
                <w:bCs/>
                <w:color w:val="000000"/>
                <w:sz w:val="24"/>
                <w:szCs w:val="24"/>
                <w:lang w:val="ru-RU"/>
              </w:rPr>
              <w:t>), ИНН 8622002368, КПП 862201001.</w:t>
            </w:r>
          </w:p>
          <w:p w14:paraId="34742682" w14:textId="2DE84A55" w:rsidR="000B5E33" w:rsidRPr="00264A30" w:rsidRDefault="000B5E33" w:rsidP="00225476">
            <w:pPr>
              <w:spacing w:before="0" w:beforeAutospacing="0" w:after="0" w:afterAutospacing="0"/>
              <w:rPr>
                <w:rFonts w:ascii="PT Astra Serif" w:hAnsi="PT Astra Serif"/>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Pr="00F24E57">
              <w:rPr>
                <w:rFonts w:ascii="PT Astra Serif" w:hAnsi="PT Astra Serif"/>
                <w:color w:val="000000"/>
                <w:sz w:val="24"/>
                <w:szCs w:val="24"/>
                <w:lang w:val="ru-RU"/>
              </w:rPr>
              <w:t>г</w:t>
            </w:r>
            <w:proofErr w:type="gramStart"/>
            <w:r w:rsidRPr="00F24E57">
              <w:rPr>
                <w:rFonts w:ascii="PT Astra Serif" w:hAnsi="PT Astra Serif"/>
                <w:color w:val="000000"/>
                <w:sz w:val="24"/>
                <w:szCs w:val="24"/>
                <w:lang w:val="ru-RU"/>
              </w:rPr>
              <w:t>.Х</w:t>
            </w:r>
            <w:proofErr w:type="gramEnd"/>
            <w:r w:rsidRPr="00F24E57">
              <w:rPr>
                <w:rFonts w:ascii="PT Astra Serif" w:hAnsi="PT Astra Serif"/>
                <w:color w:val="000000"/>
                <w:sz w:val="24"/>
                <w:szCs w:val="24"/>
                <w:lang w:val="ru-RU"/>
              </w:rPr>
              <w:t>анты-Мансийск</w:t>
            </w:r>
            <w:proofErr w:type="spellEnd"/>
            <w:r w:rsidRPr="00F24E57">
              <w:rPr>
                <w:rFonts w:ascii="PT Astra Serif" w:hAnsi="PT Astra Serif"/>
                <w:color w:val="000000"/>
                <w:sz w:val="24"/>
                <w:szCs w:val="24"/>
                <w:lang w:val="ru-RU"/>
              </w:rPr>
              <w:t>, БИК 007162163, счёт банка получателя 40102810245370000007, расчётный счёт 032326437188700087</w:t>
            </w:r>
            <w:r>
              <w:rPr>
                <w:rFonts w:ascii="PT Astra Serif" w:hAnsi="PT Astra Serif"/>
                <w:color w:val="000000"/>
                <w:sz w:val="24"/>
                <w:szCs w:val="24"/>
                <w:lang w:val="ru-RU"/>
              </w:rPr>
              <w:t>00, КБК 040.1161.0060040000.140</w:t>
            </w:r>
          </w:p>
        </w:tc>
      </w:tr>
      <w:tr w:rsidR="001B62DC" w:rsidRPr="00D770A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30495694" w:rsidR="009D5F2C" w:rsidRPr="000F4306" w:rsidRDefault="009D5F2C" w:rsidP="0050358F">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50358F">
              <w:rPr>
                <w:rFonts w:ascii="PT Astra Serif" w:hAnsi="PT Astra Serif"/>
                <w:color w:val="000099"/>
                <w:sz w:val="24"/>
                <w:szCs w:val="24"/>
                <w:lang w:val="ru-RU"/>
              </w:rPr>
              <w:t>9</w:t>
            </w:r>
            <w:r w:rsidR="007C0013">
              <w:rPr>
                <w:rFonts w:ascii="PT Astra Serif" w:hAnsi="PT Astra Serif"/>
                <w:color w:val="000099"/>
                <w:sz w:val="24"/>
                <w:szCs w:val="24"/>
                <w:lang w:val="ru-RU"/>
              </w:rPr>
              <w:t xml:space="preserve"> </w:t>
            </w:r>
            <w:r w:rsidR="0050358F">
              <w:rPr>
                <w:rFonts w:ascii="PT Astra Serif" w:hAnsi="PT Astra Serif"/>
                <w:color w:val="000099"/>
                <w:sz w:val="24"/>
                <w:szCs w:val="24"/>
                <w:lang w:val="ru-RU"/>
              </w:rPr>
              <w:t>667</w:t>
            </w:r>
            <w:r w:rsidRPr="00D062DA">
              <w:rPr>
                <w:rFonts w:ascii="PT Astra Serif" w:hAnsi="PT Astra Serif"/>
                <w:color w:val="000099"/>
                <w:sz w:val="24"/>
                <w:szCs w:val="24"/>
                <w:lang w:val="ru-RU"/>
              </w:rPr>
              <w:t xml:space="preserve"> (</w:t>
            </w:r>
            <w:r w:rsidR="0050358F">
              <w:rPr>
                <w:rFonts w:ascii="PT Astra Serif" w:hAnsi="PT Astra Serif"/>
                <w:color w:val="000099"/>
                <w:sz w:val="24"/>
                <w:szCs w:val="24"/>
                <w:lang w:val="ru-RU"/>
              </w:rPr>
              <w:t>девять</w:t>
            </w:r>
            <w:r w:rsidR="00743C73">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7C0013">
              <w:rPr>
                <w:rFonts w:ascii="PT Astra Serif" w:hAnsi="PT Astra Serif"/>
                <w:color w:val="000099"/>
                <w:sz w:val="24"/>
                <w:szCs w:val="24"/>
                <w:lang w:val="ru-RU"/>
              </w:rPr>
              <w:t xml:space="preserve"> </w:t>
            </w:r>
            <w:r w:rsidR="0050358F">
              <w:rPr>
                <w:rFonts w:ascii="PT Astra Serif" w:hAnsi="PT Astra Serif"/>
                <w:color w:val="000099"/>
                <w:sz w:val="24"/>
                <w:szCs w:val="24"/>
                <w:lang w:val="ru-RU"/>
              </w:rPr>
              <w:t>шестьсот шестьдесят семь</w:t>
            </w:r>
            <w:r w:rsidRPr="00D062DA">
              <w:rPr>
                <w:rFonts w:ascii="PT Astra Serif" w:hAnsi="PT Astra Serif"/>
                <w:color w:val="000099"/>
                <w:sz w:val="24"/>
                <w:szCs w:val="24"/>
                <w:lang w:val="ru-RU"/>
              </w:rPr>
              <w:t>) рубл</w:t>
            </w:r>
            <w:r w:rsidR="0018661D">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50358F">
              <w:rPr>
                <w:rFonts w:ascii="PT Astra Serif" w:hAnsi="PT Astra Serif"/>
                <w:color w:val="000099"/>
                <w:sz w:val="24"/>
                <w:szCs w:val="24"/>
                <w:lang w:val="ru-RU"/>
              </w:rPr>
              <w:t>80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50358F">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Администрация города </w:t>
            </w:r>
            <w:proofErr w:type="spellStart"/>
            <w:r w:rsidRPr="004D3B17">
              <w:rPr>
                <w:rFonts w:ascii="PT Astra Serif" w:hAnsi="PT Astra Serif"/>
                <w:color w:val="000000"/>
                <w:sz w:val="24"/>
                <w:szCs w:val="24"/>
                <w:lang w:val="ru-RU"/>
              </w:rPr>
              <w:t>Югорска</w:t>
            </w:r>
            <w:proofErr w:type="spellEnd"/>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xml:space="preserve"> (Администрация города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070190000), ИНН 8622002368, КПП 862201001.</w:t>
            </w:r>
          </w:p>
          <w:p w14:paraId="7DD3527F" w14:textId="77777777" w:rsidR="000B5E33" w:rsidRPr="000B5E33" w:rsidRDefault="000B5E33" w:rsidP="000B5E33">
            <w:pPr>
              <w:spacing w:before="0" w:beforeAutospacing="0" w:after="0" w:afterAutospacing="0"/>
              <w:jc w:val="both"/>
              <w:rPr>
                <w:rFonts w:ascii="PT Astra Serif" w:hAnsi="PT Astra Serif"/>
                <w:color w:val="000000"/>
                <w:sz w:val="24"/>
                <w:szCs w:val="24"/>
                <w:lang w:val="ru-RU"/>
              </w:rPr>
            </w:pPr>
            <w:r w:rsidRPr="000B5E33">
              <w:rPr>
                <w:rFonts w:ascii="PT Astra Serif" w:hAnsi="PT Astra Serif"/>
                <w:b/>
                <w:color w:val="000000"/>
                <w:sz w:val="24"/>
                <w:szCs w:val="24"/>
                <w:lang w:val="ru-RU"/>
              </w:rPr>
              <w:t xml:space="preserve">Банк: </w:t>
            </w:r>
            <w:r w:rsidRPr="000B5E33">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Pr="000B5E33">
              <w:rPr>
                <w:rFonts w:ascii="PT Astra Serif" w:hAnsi="PT Astra Serif"/>
                <w:color w:val="000000"/>
                <w:sz w:val="24"/>
                <w:szCs w:val="24"/>
                <w:lang w:val="ru-RU"/>
              </w:rPr>
              <w:t>г</w:t>
            </w:r>
            <w:proofErr w:type="gramStart"/>
            <w:r w:rsidRPr="000B5E33">
              <w:rPr>
                <w:rFonts w:ascii="PT Astra Serif" w:hAnsi="PT Astra Serif"/>
                <w:color w:val="000000"/>
                <w:sz w:val="24"/>
                <w:szCs w:val="24"/>
                <w:lang w:val="ru-RU"/>
              </w:rPr>
              <w:t>.Х</w:t>
            </w:r>
            <w:proofErr w:type="gramEnd"/>
            <w:r w:rsidRPr="000B5E33">
              <w:rPr>
                <w:rFonts w:ascii="PT Astra Serif" w:hAnsi="PT Astra Serif"/>
                <w:color w:val="000000"/>
                <w:sz w:val="24"/>
                <w:szCs w:val="24"/>
                <w:lang w:val="ru-RU"/>
              </w:rPr>
              <w:t>анты-Мансийск</w:t>
            </w:r>
            <w:proofErr w:type="spellEnd"/>
            <w:r w:rsidRPr="000B5E33">
              <w:rPr>
                <w:rFonts w:ascii="PT Astra Serif" w:hAnsi="PT Astra Serif"/>
                <w:color w:val="000000"/>
                <w:sz w:val="24"/>
                <w:szCs w:val="24"/>
                <w:lang w:val="ru-RU"/>
              </w:rPr>
              <w:t>, БИК 007162163, счёт банка получателя 40102810245370000007, расчётный счёт 03232643718870008700, КБК 040.1161.0060040000.140, казначейский счёт получателя 03232643718870008700.</w:t>
            </w:r>
          </w:p>
          <w:p w14:paraId="41FCC7E4" w14:textId="6DB5032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w:t>
            </w:r>
            <w:r w:rsidRPr="004D3B17">
              <w:rPr>
                <w:rFonts w:ascii="PT Astra Serif" w:hAnsi="PT Astra Serif"/>
                <w:color w:val="000000"/>
                <w:sz w:val="24"/>
                <w:szCs w:val="24"/>
                <w:lang w:val="ru-RU"/>
              </w:rPr>
              <w:lastRenderedPageBreak/>
              <w:t xml:space="preserve">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43C73">
              <w:rPr>
                <w:rFonts w:ascii="PT Astra Serif" w:hAnsi="PT Astra Serif"/>
                <w:bCs/>
                <w:color w:val="000099"/>
                <w:sz w:val="24"/>
                <w:szCs w:val="24"/>
                <w:lang w:val="ru-RU"/>
              </w:rPr>
              <w:t>картриджей</w:t>
            </w:r>
            <w:r w:rsidR="007C0013" w:rsidRPr="007C0013">
              <w:rPr>
                <w:rFonts w:ascii="PT Astra Serif" w:hAnsi="PT Astra Serif"/>
                <w:bCs/>
                <w:color w:val="000099"/>
                <w:sz w:val="24"/>
                <w:szCs w:val="24"/>
                <w:lang w:val="ru-RU"/>
              </w:rPr>
              <w:t xml:space="preserve"> для </w:t>
            </w:r>
            <w:r w:rsidR="00225476" w:rsidRPr="00225476">
              <w:rPr>
                <w:rFonts w:ascii="PT Astra Serif" w:hAnsi="PT Astra Serif"/>
                <w:bCs/>
                <w:color w:val="000099"/>
                <w:sz w:val="24"/>
                <w:szCs w:val="24"/>
                <w:lang w:val="ru-RU"/>
              </w:rPr>
              <w:t>электрографических печатающих устройств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 xml:space="preserve">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w:t>
            </w:r>
            <w:r w:rsidRPr="00156091">
              <w:rPr>
                <w:rFonts w:ascii="PT Astra Serif" w:hAnsi="PT Astra Serif"/>
                <w:sz w:val="24"/>
                <w:szCs w:val="24"/>
                <w:lang w:val="ru-RU"/>
              </w:rPr>
              <w:lastRenderedPageBreak/>
              <w:t>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D770A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D770A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E7EC84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D31824">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D31824">
              <w:rPr>
                <w:rFonts w:ascii="PT Astra Serif" w:hAnsi="PT Astra Serif"/>
                <w:color w:val="000000"/>
                <w:sz w:val="24"/>
                <w:szCs w:val="24"/>
                <w:lang w:val="ru-RU"/>
              </w:rPr>
              <w:t xml:space="preserve">апреля </w:t>
            </w:r>
            <w:r w:rsidRPr="000F4306">
              <w:rPr>
                <w:rFonts w:ascii="PT Astra Serif" w:hAnsi="PT Astra Serif"/>
                <w:color w:val="000000"/>
                <w:sz w:val="24"/>
                <w:szCs w:val="24"/>
                <w:lang w:val="ru-RU"/>
              </w:rPr>
              <w:t>202</w:t>
            </w:r>
            <w:r w:rsidR="00225476">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7324EB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D31824">
              <w:rPr>
                <w:rFonts w:ascii="PT Astra Serif" w:hAnsi="PT Astra Serif"/>
                <w:color w:val="000000"/>
                <w:sz w:val="24"/>
                <w:szCs w:val="24"/>
                <w:lang w:val="ru-RU"/>
              </w:rPr>
              <w:t>2</w:t>
            </w:r>
            <w:r w:rsidR="00D770AF">
              <w:rPr>
                <w:rFonts w:ascii="PT Astra Serif" w:hAnsi="PT Astra Serif"/>
                <w:color w:val="000000"/>
                <w:sz w:val="24"/>
                <w:szCs w:val="24"/>
                <w:lang w:val="ru-RU"/>
              </w:rPr>
              <w:t>0</w:t>
            </w:r>
            <w:bookmarkStart w:id="0" w:name="_GoBack"/>
            <w:bookmarkEnd w:id="0"/>
            <w:r w:rsidRPr="000F4306">
              <w:rPr>
                <w:rFonts w:ascii="PT Astra Serif" w:hAnsi="PT Astra Serif"/>
                <w:color w:val="000000"/>
                <w:sz w:val="24"/>
                <w:szCs w:val="24"/>
                <w:lang w:val="ru-RU"/>
              </w:rPr>
              <w:t>»</w:t>
            </w:r>
            <w:r w:rsidR="00D31824">
              <w:rPr>
                <w:rFonts w:ascii="PT Astra Serif" w:hAnsi="PT Astra Serif"/>
                <w:color w:val="000000"/>
                <w:sz w:val="24"/>
                <w:szCs w:val="24"/>
                <w:lang w:val="ru-RU"/>
              </w:rPr>
              <w:t xml:space="preserve"> апреля </w:t>
            </w:r>
            <w:r w:rsidRPr="000F4306">
              <w:rPr>
                <w:rFonts w:ascii="PT Astra Serif" w:hAnsi="PT Astra Serif"/>
                <w:color w:val="000000"/>
                <w:sz w:val="24"/>
                <w:szCs w:val="24"/>
                <w:lang w:val="ru-RU"/>
              </w:rPr>
              <w:t>202</w:t>
            </w:r>
            <w:r w:rsidR="00225476">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360A11B" w:rsidR="001B62DC" w:rsidRPr="000F4306" w:rsidRDefault="001B62DC" w:rsidP="00D3182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D31824">
              <w:rPr>
                <w:rFonts w:ascii="PT Astra Serif" w:hAnsi="PT Astra Serif"/>
                <w:color w:val="000000"/>
                <w:sz w:val="24"/>
                <w:szCs w:val="24"/>
                <w:lang w:val="ru-RU"/>
              </w:rPr>
              <w:t>21</w:t>
            </w:r>
            <w:r w:rsidR="0016682B">
              <w:rPr>
                <w:rFonts w:ascii="PT Astra Serif" w:hAnsi="PT Astra Serif"/>
                <w:color w:val="000000"/>
                <w:sz w:val="24"/>
                <w:szCs w:val="24"/>
                <w:lang w:val="ru-RU"/>
              </w:rPr>
              <w:t>»</w:t>
            </w:r>
            <w:r w:rsidR="00D31824">
              <w:rPr>
                <w:rFonts w:ascii="PT Astra Serif" w:hAnsi="PT Astra Serif"/>
                <w:color w:val="000000"/>
                <w:sz w:val="24"/>
                <w:szCs w:val="24"/>
                <w:lang w:val="ru-RU"/>
              </w:rPr>
              <w:t xml:space="preserve"> апреля </w:t>
            </w:r>
            <w:r w:rsidRPr="000F4306">
              <w:rPr>
                <w:rFonts w:ascii="PT Astra Serif" w:hAnsi="PT Astra Serif"/>
                <w:color w:val="000000"/>
                <w:sz w:val="24"/>
                <w:szCs w:val="24"/>
                <w:lang w:val="ru-RU"/>
              </w:rPr>
              <w:t>202</w:t>
            </w:r>
            <w:r w:rsidR="00225476">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tc>
      </w:tr>
      <w:tr w:rsidR="00505CE5" w:rsidRPr="00D770AF"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lastRenderedPageBreak/>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D770AF" w:rsidRPr="00D770AF">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3396"/>
    <w:rsid w:val="00044E24"/>
    <w:rsid w:val="00057CD3"/>
    <w:rsid w:val="00060202"/>
    <w:rsid w:val="00087241"/>
    <w:rsid w:val="0008738C"/>
    <w:rsid w:val="000A0539"/>
    <w:rsid w:val="000A5521"/>
    <w:rsid w:val="000B5E33"/>
    <w:rsid w:val="000B6608"/>
    <w:rsid w:val="000B77FD"/>
    <w:rsid w:val="000E1513"/>
    <w:rsid w:val="000F3492"/>
    <w:rsid w:val="000F4306"/>
    <w:rsid w:val="000F5BBC"/>
    <w:rsid w:val="0010032D"/>
    <w:rsid w:val="001139B4"/>
    <w:rsid w:val="00113F5D"/>
    <w:rsid w:val="00127516"/>
    <w:rsid w:val="00144E8A"/>
    <w:rsid w:val="001455D1"/>
    <w:rsid w:val="00156091"/>
    <w:rsid w:val="00160AD9"/>
    <w:rsid w:val="001659FA"/>
    <w:rsid w:val="0016682B"/>
    <w:rsid w:val="001703CB"/>
    <w:rsid w:val="00174F69"/>
    <w:rsid w:val="001763F1"/>
    <w:rsid w:val="0018661D"/>
    <w:rsid w:val="001920D3"/>
    <w:rsid w:val="001A6AA4"/>
    <w:rsid w:val="001B1E8C"/>
    <w:rsid w:val="001B62DC"/>
    <w:rsid w:val="001C77BF"/>
    <w:rsid w:val="001E3896"/>
    <w:rsid w:val="00203661"/>
    <w:rsid w:val="00207500"/>
    <w:rsid w:val="00225476"/>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566C"/>
    <w:rsid w:val="003D7935"/>
    <w:rsid w:val="003F23EC"/>
    <w:rsid w:val="003F498D"/>
    <w:rsid w:val="00406A41"/>
    <w:rsid w:val="00416629"/>
    <w:rsid w:val="0045270D"/>
    <w:rsid w:val="00453EE6"/>
    <w:rsid w:val="004901A1"/>
    <w:rsid w:val="004A1003"/>
    <w:rsid w:val="004C7D6F"/>
    <w:rsid w:val="004D0887"/>
    <w:rsid w:val="004D3A77"/>
    <w:rsid w:val="004D3B17"/>
    <w:rsid w:val="00501B80"/>
    <w:rsid w:val="0050267A"/>
    <w:rsid w:val="0050358F"/>
    <w:rsid w:val="00505A5E"/>
    <w:rsid w:val="00505CE5"/>
    <w:rsid w:val="00514770"/>
    <w:rsid w:val="005239BA"/>
    <w:rsid w:val="00542843"/>
    <w:rsid w:val="00546F17"/>
    <w:rsid w:val="00557AA6"/>
    <w:rsid w:val="005B775C"/>
    <w:rsid w:val="005C06DC"/>
    <w:rsid w:val="005E2783"/>
    <w:rsid w:val="005E5F3C"/>
    <w:rsid w:val="005F64BF"/>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3C73"/>
    <w:rsid w:val="00744515"/>
    <w:rsid w:val="00750C4A"/>
    <w:rsid w:val="00753654"/>
    <w:rsid w:val="0075459B"/>
    <w:rsid w:val="00760E66"/>
    <w:rsid w:val="007777AC"/>
    <w:rsid w:val="00787A9C"/>
    <w:rsid w:val="007962B1"/>
    <w:rsid w:val="007A20F3"/>
    <w:rsid w:val="007A59F8"/>
    <w:rsid w:val="007A738A"/>
    <w:rsid w:val="007C0013"/>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24EB"/>
    <w:rsid w:val="008B5B66"/>
    <w:rsid w:val="008B6457"/>
    <w:rsid w:val="008C0C62"/>
    <w:rsid w:val="008D34D0"/>
    <w:rsid w:val="008E6F0E"/>
    <w:rsid w:val="008F492D"/>
    <w:rsid w:val="008F7F05"/>
    <w:rsid w:val="00902DFB"/>
    <w:rsid w:val="00915E20"/>
    <w:rsid w:val="009563A3"/>
    <w:rsid w:val="00956623"/>
    <w:rsid w:val="00957B25"/>
    <w:rsid w:val="00965A06"/>
    <w:rsid w:val="009725C1"/>
    <w:rsid w:val="00984D2F"/>
    <w:rsid w:val="009C6991"/>
    <w:rsid w:val="009D5F2C"/>
    <w:rsid w:val="009E0476"/>
    <w:rsid w:val="009E3D80"/>
    <w:rsid w:val="009F4D0C"/>
    <w:rsid w:val="00A01BD5"/>
    <w:rsid w:val="00A0416D"/>
    <w:rsid w:val="00A04484"/>
    <w:rsid w:val="00A110B6"/>
    <w:rsid w:val="00A123AB"/>
    <w:rsid w:val="00A24309"/>
    <w:rsid w:val="00A36E76"/>
    <w:rsid w:val="00A41A56"/>
    <w:rsid w:val="00A44FC8"/>
    <w:rsid w:val="00A51869"/>
    <w:rsid w:val="00A56E5D"/>
    <w:rsid w:val="00A67CC3"/>
    <w:rsid w:val="00A754B9"/>
    <w:rsid w:val="00A842A8"/>
    <w:rsid w:val="00A9683A"/>
    <w:rsid w:val="00AA69F4"/>
    <w:rsid w:val="00AC22EE"/>
    <w:rsid w:val="00AC2E2F"/>
    <w:rsid w:val="00AC4AEE"/>
    <w:rsid w:val="00AC5941"/>
    <w:rsid w:val="00AF53BC"/>
    <w:rsid w:val="00B075BB"/>
    <w:rsid w:val="00B15340"/>
    <w:rsid w:val="00B41235"/>
    <w:rsid w:val="00B54434"/>
    <w:rsid w:val="00B57ADA"/>
    <w:rsid w:val="00B6291C"/>
    <w:rsid w:val="00B629FF"/>
    <w:rsid w:val="00B673D6"/>
    <w:rsid w:val="00B71E47"/>
    <w:rsid w:val="00B85C76"/>
    <w:rsid w:val="00B8703D"/>
    <w:rsid w:val="00B907CA"/>
    <w:rsid w:val="00B95730"/>
    <w:rsid w:val="00BE02AF"/>
    <w:rsid w:val="00BE0857"/>
    <w:rsid w:val="00BE2E43"/>
    <w:rsid w:val="00BE5961"/>
    <w:rsid w:val="00C11550"/>
    <w:rsid w:val="00C273CC"/>
    <w:rsid w:val="00C3297D"/>
    <w:rsid w:val="00C32BA0"/>
    <w:rsid w:val="00C53522"/>
    <w:rsid w:val="00C56EE2"/>
    <w:rsid w:val="00C92ED5"/>
    <w:rsid w:val="00CB5FBB"/>
    <w:rsid w:val="00CE0F95"/>
    <w:rsid w:val="00CE7C75"/>
    <w:rsid w:val="00CF3BF7"/>
    <w:rsid w:val="00CF63BB"/>
    <w:rsid w:val="00CF7CB1"/>
    <w:rsid w:val="00D175CB"/>
    <w:rsid w:val="00D31824"/>
    <w:rsid w:val="00D41338"/>
    <w:rsid w:val="00D42833"/>
    <w:rsid w:val="00D57559"/>
    <w:rsid w:val="00D57A90"/>
    <w:rsid w:val="00D60F12"/>
    <w:rsid w:val="00D733FA"/>
    <w:rsid w:val="00D73C06"/>
    <w:rsid w:val="00D75B37"/>
    <w:rsid w:val="00D770AF"/>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74923"/>
    <w:rsid w:val="00E928A2"/>
    <w:rsid w:val="00E95031"/>
    <w:rsid w:val="00EA3527"/>
    <w:rsid w:val="00EA3BF1"/>
    <w:rsid w:val="00EB388D"/>
    <w:rsid w:val="00EC075B"/>
    <w:rsid w:val="00ED237D"/>
    <w:rsid w:val="00EF1D23"/>
    <w:rsid w:val="00F108FB"/>
    <w:rsid w:val="00F17B9C"/>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1CCB-C95F-4FFE-BA40-0F2610FC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11</Pages>
  <Words>3168</Words>
  <Characters>18060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Боярищева Татьяна Федоровна</cp:lastModifiedBy>
  <cp:revision>162</cp:revision>
  <cp:lastPrinted>2026-04-09T10:16:00Z</cp:lastPrinted>
  <dcterms:created xsi:type="dcterms:W3CDTF">2022-01-26T11:11:00Z</dcterms:created>
  <dcterms:modified xsi:type="dcterms:W3CDTF">2026-04-10T09:57:00Z</dcterms:modified>
</cp:coreProperties>
</file>